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4E8B5F7" wp14:paraId="552341A0" wp14:textId="1DF47994">
      <w:pPr>
        <w:pStyle w:val="Normal"/>
        <w:rPr>
          <w:b w:val="1"/>
          <w:bCs w:val="1"/>
          <w:sz w:val="20"/>
          <w:szCs w:val="20"/>
        </w:rPr>
      </w:pPr>
      <w:r w:rsidRPr="36786F44" w:rsidR="1CD208E2">
        <w:rPr>
          <w:b w:val="1"/>
          <w:bCs w:val="1"/>
          <w:sz w:val="20"/>
          <w:szCs w:val="20"/>
        </w:rPr>
        <w:t>Bowlish</w:t>
      </w:r>
      <w:r w:rsidRPr="36786F44" w:rsidR="1CD208E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>
        <w:tab/>
      </w:r>
      <w:r w:rsidRPr="2538437F" w:rsidR="2538437F">
        <w:rPr>
          <w:b w:val="1"/>
          <w:bCs w:val="1"/>
          <w:sz w:val="20"/>
          <w:szCs w:val="20"/>
        </w:rPr>
        <w:t xml:space="preserve">Design and </w:t>
      </w:r>
      <w:r w:rsidRPr="2538437F" w:rsidR="2538437F">
        <w:rPr>
          <w:b w:val="1"/>
          <w:bCs w:val="1"/>
          <w:sz w:val="20"/>
          <w:szCs w:val="20"/>
        </w:rPr>
        <w:t>Technology</w:t>
      </w:r>
      <w:r w:rsidRPr="2538437F" w:rsidR="2AB30581">
        <w:rPr>
          <w:b w:val="1"/>
          <w:bCs w:val="1"/>
          <w:sz w:val="20"/>
          <w:szCs w:val="20"/>
        </w:rPr>
        <w:t xml:space="preserve"> – </w:t>
      </w:r>
      <w:r w:rsidRPr="2538437F" w:rsidR="2AB30581">
        <w:rPr>
          <w:b w:val="1"/>
          <w:bCs w:val="1"/>
          <w:sz w:val="20"/>
          <w:szCs w:val="20"/>
        </w:rPr>
        <w:t xml:space="preserve">Key Concepts</w:t>
      </w:r>
      <w:r w:rsidR="7C5BC0D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DA1283C" wp14:anchorId="2BC279F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80430" cy="516702"/>
            <wp:effectExtent l="0" t="0" r="0" b="0"/>
            <wp:wrapSquare wrapText="bothSides"/>
            <wp:docPr id="1639026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77b33332c247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80430" cy="51670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01" w:type="dxa"/>
        <w:tblLayout w:type="fixed"/>
        <w:tblLook w:val="06A0" w:firstRow="1" w:lastRow="0" w:firstColumn="1" w:lastColumn="0" w:noHBand="1" w:noVBand="1"/>
      </w:tblPr>
      <w:tblGrid>
        <w:gridCol w:w="1246"/>
        <w:gridCol w:w="2631"/>
        <w:gridCol w:w="2631"/>
        <w:gridCol w:w="2631"/>
        <w:gridCol w:w="2631"/>
        <w:gridCol w:w="2631"/>
      </w:tblGrid>
      <w:tr w:rsidR="53A93E19" w:rsidTr="7D9D7372" w14:paraId="19D495EE">
        <w:trPr>
          <w:trHeight w:val="300"/>
        </w:trPr>
        <w:tc>
          <w:tcPr>
            <w:tcW w:w="1246" w:type="dxa"/>
            <w:tcMar/>
          </w:tcPr>
          <w:p w:rsidR="53A93E19" w:rsidP="53A93E19" w:rsidRDefault="53A93E19" w14:paraId="1C3D67CF" w14:textId="139403DB">
            <w:pPr>
              <w:pStyle w:val="Normal"/>
            </w:pPr>
          </w:p>
        </w:tc>
        <w:tc>
          <w:tcPr>
            <w:tcW w:w="2631" w:type="dxa"/>
            <w:tcMar/>
          </w:tcPr>
          <w:p w:rsidR="16D00578" w:rsidP="53A93E19" w:rsidRDefault="16D00578" w14:paraId="1A0CC517" w14:textId="0C3B0F85">
            <w:pPr>
              <w:pStyle w:val="Normal"/>
              <w:jc w:val="center"/>
            </w:pPr>
            <w:r w:rsidR="4D92D4C0">
              <w:rPr/>
              <w:t>Cooking and Nutrition</w:t>
            </w:r>
          </w:p>
          <w:p w:rsidR="16D00578" w:rsidP="53A93E19" w:rsidRDefault="16D00578" w14:paraId="13C04E2B" w14:textId="671DABBD">
            <w:pPr>
              <w:pStyle w:val="Normal"/>
              <w:jc w:val="center"/>
            </w:pPr>
            <w:r w:rsidR="0FDBD754">
              <w:drawing>
                <wp:inline wp14:editId="7C4EA283" wp14:anchorId="3218B256">
                  <wp:extent cx="598237" cy="444235"/>
                  <wp:effectExtent l="0" t="0" r="0" b="0"/>
                  <wp:docPr id="177983819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c36be5730344cd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237" cy="44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tcMar/>
          </w:tcPr>
          <w:p w:rsidR="4D92D4C0" w:rsidP="2538437F" w:rsidRDefault="4D92D4C0" w14:paraId="0432B598" w14:textId="4425DDB5">
            <w:pPr>
              <w:pStyle w:val="Normal"/>
              <w:jc w:val="center"/>
            </w:pPr>
            <w:r w:rsidR="4D92D4C0">
              <w:rPr/>
              <w:t>Structures</w:t>
            </w:r>
          </w:p>
          <w:p w:rsidR="6F26DF4A" w:rsidP="2538437F" w:rsidRDefault="6F26DF4A" w14:paraId="0E56C754" w14:textId="5BB9CB7D">
            <w:pPr>
              <w:pStyle w:val="Normal"/>
              <w:jc w:val="center"/>
            </w:pPr>
            <w:r w:rsidR="6F26DF4A">
              <w:drawing>
                <wp:inline wp14:editId="31DE43DA" wp14:anchorId="4CC025FC">
                  <wp:extent cx="434401" cy="448566"/>
                  <wp:effectExtent l="0" t="0" r="0" b="0"/>
                  <wp:docPr id="21177770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2e10abec30841b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01" cy="44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tcMar/>
          </w:tcPr>
          <w:p w:rsidR="4D92D4C0" w:rsidP="2538437F" w:rsidRDefault="4D92D4C0" w14:paraId="00502CF5" w14:textId="5717E113">
            <w:pPr>
              <w:pStyle w:val="Normal"/>
              <w:jc w:val="center"/>
            </w:pPr>
            <w:r w:rsidR="4D92D4C0">
              <w:rPr/>
              <w:t>Textiles</w:t>
            </w:r>
          </w:p>
          <w:p w:rsidR="3D6CEABD" w:rsidP="2538437F" w:rsidRDefault="3D6CEABD" w14:paraId="12CB510A" w14:textId="13A548A1">
            <w:pPr>
              <w:pStyle w:val="Normal"/>
              <w:jc w:val="center"/>
            </w:pPr>
            <w:r w:rsidR="3D6CEABD">
              <w:drawing>
                <wp:inline wp14:editId="2E04AE16" wp14:anchorId="33B17DF4">
                  <wp:extent cx="510614" cy="419433"/>
                  <wp:effectExtent l="0" t="0" r="0" b="0"/>
                  <wp:docPr id="3142319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cdc068cf6ff41d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14" cy="41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tcMar/>
          </w:tcPr>
          <w:p w:rsidR="4D92D4C0" w:rsidP="2538437F" w:rsidRDefault="4D92D4C0" w14:paraId="748D1FB5" w14:textId="4DF15F9E">
            <w:pPr>
              <w:pStyle w:val="Normal"/>
              <w:jc w:val="center"/>
            </w:pPr>
            <w:r w:rsidR="4D92D4C0">
              <w:rPr/>
              <w:t>Mechanisms and Mechanical Systems</w:t>
            </w:r>
          </w:p>
          <w:p w:rsidR="7D0BF5CE" w:rsidP="2538437F" w:rsidRDefault="7D0BF5CE" w14:paraId="529EBC29" w14:textId="417B7DEB">
            <w:pPr>
              <w:pStyle w:val="Normal"/>
              <w:jc w:val="center"/>
            </w:pPr>
            <w:r w:rsidR="7D0BF5CE">
              <w:drawing>
                <wp:inline wp14:editId="36B5212F" wp14:anchorId="23D87FBD">
                  <wp:extent cx="403925" cy="337978"/>
                  <wp:effectExtent l="0" t="0" r="0" b="0"/>
                  <wp:docPr id="5539102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1a909a7115645b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25" cy="33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shd w:val="clear" w:color="auto" w:fill="D9D9D9" w:themeFill="background1" w:themeFillShade="D9"/>
            <w:tcMar/>
          </w:tcPr>
          <w:p w:rsidR="4536E5D4" w:rsidP="374D36CC" w:rsidRDefault="4536E5D4" w14:paraId="33FF8F0A" w14:textId="3F16A150">
            <w:pPr>
              <w:pStyle w:val="Normal"/>
              <w:jc w:val="center"/>
            </w:pPr>
            <w:r w:rsidR="4536E5D4">
              <w:rPr/>
              <w:t>Electrical Systems</w:t>
            </w:r>
          </w:p>
        </w:tc>
      </w:tr>
      <w:tr w:rsidR="53A93E19" w:rsidTr="7D9D7372" w14:paraId="24781011">
        <w:trPr>
          <w:trHeight w:val="300"/>
        </w:trPr>
        <w:tc>
          <w:tcPr>
            <w:tcW w:w="1246" w:type="dxa"/>
            <w:tcMar/>
          </w:tcPr>
          <w:p w:rsidR="2E902604" w:rsidP="374D36CC" w:rsidRDefault="2E902604" w14:paraId="1D428B14" w14:textId="272FD333">
            <w:pPr>
              <w:pStyle w:val="Normal"/>
              <w:rPr>
                <w:sz w:val="16"/>
                <w:szCs w:val="16"/>
              </w:rPr>
            </w:pPr>
            <w:r w:rsidRPr="374D36CC" w:rsidR="701EB230">
              <w:rPr>
                <w:sz w:val="16"/>
                <w:szCs w:val="16"/>
              </w:rPr>
              <w:t xml:space="preserve">Definitions of </w:t>
            </w:r>
            <w:r w:rsidRPr="374D36CC" w:rsidR="5B128359">
              <w:rPr>
                <w:sz w:val="16"/>
                <w:szCs w:val="16"/>
              </w:rPr>
              <w:t>Substantive Concepts</w:t>
            </w:r>
          </w:p>
        </w:tc>
        <w:tc>
          <w:tcPr>
            <w:tcW w:w="2631" w:type="dxa"/>
            <w:tcMar/>
          </w:tcPr>
          <w:p w:rsidR="63610301" w:rsidP="374D36CC" w:rsidRDefault="63610301" w14:paraId="668BBA76" w14:textId="340712B8">
            <w:pPr>
              <w:pStyle w:val="Normal"/>
              <w:jc w:val="left"/>
              <w:rPr>
                <w:sz w:val="16"/>
                <w:szCs w:val="16"/>
              </w:rPr>
            </w:pPr>
            <w:r w:rsidRPr="374D36CC" w:rsidR="40CCEDA4">
              <w:rPr>
                <w:sz w:val="16"/>
                <w:szCs w:val="16"/>
              </w:rPr>
              <w:t xml:space="preserve">Cooking and Nutrition supports children to </w:t>
            </w:r>
            <w:r w:rsidRPr="374D36CC" w:rsidR="40CCEDA4">
              <w:rPr>
                <w:sz w:val="16"/>
                <w:szCs w:val="16"/>
              </w:rPr>
              <w:t>dev</w:t>
            </w:r>
            <w:r w:rsidRPr="374D36CC" w:rsidR="7C2B5BE0">
              <w:rPr>
                <w:sz w:val="16"/>
                <w:szCs w:val="16"/>
              </w:rPr>
              <w:t>e</w:t>
            </w:r>
            <w:r w:rsidRPr="374D36CC" w:rsidR="40CCEDA4">
              <w:rPr>
                <w:sz w:val="16"/>
                <w:szCs w:val="16"/>
              </w:rPr>
              <w:t>lop</w:t>
            </w:r>
            <w:r w:rsidRPr="374D36CC" w:rsidR="40CCEDA4">
              <w:rPr>
                <w:sz w:val="16"/>
                <w:szCs w:val="16"/>
              </w:rPr>
              <w:t xml:space="preserve"> their ability to cook as well as understand nutrition and apply healthy eating pr</w:t>
            </w:r>
            <w:r w:rsidRPr="374D36CC" w:rsidR="5745ADA3">
              <w:rPr>
                <w:sz w:val="16"/>
                <w:szCs w:val="16"/>
              </w:rPr>
              <w:t xml:space="preserve">inciples. </w:t>
            </w:r>
          </w:p>
          <w:p w:rsidR="2538437F" w:rsidP="374D36CC" w:rsidRDefault="2538437F" w14:paraId="1F6B42C3" w14:textId="3F33363A">
            <w:pPr>
              <w:pStyle w:val="Normal"/>
              <w:jc w:val="left"/>
              <w:rPr>
                <w:sz w:val="16"/>
                <w:szCs w:val="16"/>
              </w:rPr>
            </w:pPr>
          </w:p>
          <w:p w:rsidR="42742460" w:rsidP="374D36CC" w:rsidRDefault="42742460" w14:paraId="0618BD18" w14:textId="687CBFFA">
            <w:pPr>
              <w:pStyle w:val="Normal"/>
              <w:jc w:val="left"/>
              <w:rPr>
                <w:sz w:val="16"/>
                <w:szCs w:val="16"/>
              </w:rPr>
            </w:pPr>
            <w:r w:rsidRPr="374D36CC" w:rsidR="5745ADA3">
              <w:rPr>
                <w:sz w:val="16"/>
                <w:szCs w:val="16"/>
              </w:rPr>
              <w:t>In KS</w:t>
            </w:r>
            <w:r w:rsidRPr="374D36CC" w:rsidR="1EF3EEF8">
              <w:rPr>
                <w:sz w:val="16"/>
                <w:szCs w:val="16"/>
              </w:rPr>
              <w:t xml:space="preserve">1 </w:t>
            </w:r>
            <w:r w:rsidRPr="374D36CC" w:rsidR="5745ADA3">
              <w:rPr>
                <w:sz w:val="16"/>
                <w:szCs w:val="16"/>
              </w:rPr>
              <w:t>children will learn where food comes from, what a balanced diet may look like and how to follow recipes. They will develop their preparation</w:t>
            </w:r>
            <w:r w:rsidRPr="374D36CC" w:rsidR="03900128">
              <w:rPr>
                <w:sz w:val="16"/>
                <w:szCs w:val="16"/>
              </w:rPr>
              <w:t xml:space="preserve"> and cooking skills and follow hygiene rules. </w:t>
            </w:r>
          </w:p>
        </w:tc>
        <w:tc>
          <w:tcPr>
            <w:tcW w:w="2631" w:type="dxa"/>
            <w:tcMar/>
          </w:tcPr>
          <w:p w:rsidR="1AAEA656" w:rsidP="374D36CC" w:rsidRDefault="1AAEA656" w14:paraId="607E7A19" w14:textId="63D0AA77">
            <w:pPr>
              <w:pStyle w:val="Normal"/>
              <w:jc w:val="left"/>
              <w:rPr>
                <w:sz w:val="16"/>
                <w:szCs w:val="16"/>
              </w:rPr>
            </w:pPr>
            <w:r w:rsidRPr="374D36CC" w:rsidR="05D2FC83">
              <w:rPr>
                <w:sz w:val="16"/>
                <w:szCs w:val="16"/>
              </w:rPr>
              <w:t xml:space="preserve">Structures </w:t>
            </w:r>
            <w:r w:rsidRPr="374D36CC" w:rsidR="329AE171">
              <w:rPr>
                <w:sz w:val="16"/>
                <w:szCs w:val="16"/>
              </w:rPr>
              <w:t>is</w:t>
            </w:r>
            <w:r w:rsidRPr="374D36CC" w:rsidR="329AE171">
              <w:rPr>
                <w:sz w:val="16"/>
                <w:szCs w:val="16"/>
              </w:rPr>
              <w:t xml:space="preserve"> involved with children creating 3D shapes with </w:t>
            </w:r>
            <w:r w:rsidRPr="374D36CC" w:rsidR="329AE171">
              <w:rPr>
                <w:sz w:val="16"/>
                <w:szCs w:val="16"/>
              </w:rPr>
              <w:t>different parts</w:t>
            </w:r>
            <w:r w:rsidRPr="374D36CC" w:rsidR="329AE171">
              <w:rPr>
                <w:sz w:val="16"/>
                <w:szCs w:val="16"/>
              </w:rPr>
              <w:t xml:space="preserve"> and materials. </w:t>
            </w:r>
          </w:p>
          <w:p w:rsidR="2538437F" w:rsidP="374D36CC" w:rsidRDefault="2538437F" w14:paraId="15042331" w14:textId="1DF10163">
            <w:pPr>
              <w:pStyle w:val="Normal"/>
              <w:jc w:val="left"/>
              <w:rPr>
                <w:sz w:val="16"/>
                <w:szCs w:val="16"/>
              </w:rPr>
            </w:pPr>
          </w:p>
          <w:p w:rsidR="604F6535" w:rsidP="374D36CC" w:rsidRDefault="604F6535" w14:paraId="3D0FAC4C" w14:textId="73567FED">
            <w:pPr>
              <w:pStyle w:val="Normal"/>
              <w:jc w:val="left"/>
              <w:rPr>
                <w:sz w:val="16"/>
                <w:szCs w:val="16"/>
              </w:rPr>
            </w:pPr>
            <w:r w:rsidRPr="374D36CC" w:rsidR="329AE171">
              <w:rPr>
                <w:sz w:val="16"/>
                <w:szCs w:val="16"/>
              </w:rPr>
              <w:t xml:space="preserve">In KS1, children will develop their knowledge of materials including their functional and aesthetic properties. They will think about the strength and stability of the </w:t>
            </w:r>
            <w:r w:rsidRPr="374D36CC" w:rsidR="4F23AFF9">
              <w:rPr>
                <w:sz w:val="16"/>
                <w:szCs w:val="16"/>
              </w:rPr>
              <w:t>parts they choose to make a structure as well as how they can improve these elements</w:t>
            </w:r>
            <w:r w:rsidRPr="374D36CC" w:rsidR="4F23AFF9">
              <w:rPr>
                <w:sz w:val="16"/>
                <w:szCs w:val="16"/>
              </w:rPr>
              <w:t xml:space="preserve">. </w:t>
            </w:r>
            <w:r w:rsidRPr="374D36CC" w:rsidR="329AE1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31" w:type="dxa"/>
            <w:tcMar/>
          </w:tcPr>
          <w:p w:rsidR="58A4F8CF" w:rsidP="374D36CC" w:rsidRDefault="58A4F8CF" w14:paraId="0EFC3CCD" w14:textId="5E79537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  <w:r w:rsidRPr="374D36CC" w:rsidR="4AB84C01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Textiles </w:t>
            </w:r>
            <w:r w:rsidRPr="374D36CC" w:rsidR="4AB84C01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is</w:t>
            </w:r>
            <w:r w:rsidRPr="374D36CC" w:rsidR="4AB84C01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concerned with </w:t>
            </w:r>
            <w:r w:rsidRPr="374D36CC" w:rsidR="282CD3F9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learning about different fabrics and how they can be made into different objects.</w:t>
            </w:r>
          </w:p>
          <w:p w:rsidR="2538437F" w:rsidP="374D36CC" w:rsidRDefault="2538437F" w14:paraId="16A82984" w14:textId="10A0F00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</w:p>
          <w:p w:rsidR="79C21B26" w:rsidP="374D36CC" w:rsidRDefault="79C21B26" w14:paraId="6059ABC8" w14:textId="16EDB649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  <w:r w:rsidRPr="374D36CC" w:rsidR="282CD3F9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In KS1, children will learn about the properties of </w:t>
            </w:r>
            <w:r w:rsidRPr="374D36CC" w:rsidR="4D19734D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different</w:t>
            </w:r>
            <w:r w:rsidRPr="374D36CC" w:rsidR="282CD3F9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fabrics and how they may be fit (or unfit) for different purposes. They will begin to learn how to fasten, sew and</w:t>
            </w:r>
            <w:r w:rsidRPr="374D36CC" w:rsidR="110BE85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use </w:t>
            </w:r>
            <w:r w:rsidRPr="374D36CC" w:rsidR="110BE85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different</w:t>
            </w:r>
            <w:r w:rsidRPr="374D36CC" w:rsidR="110BE85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decorative techniques.</w:t>
            </w:r>
            <w:r w:rsidRPr="374D36CC" w:rsidR="282CD3F9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1" w:type="dxa"/>
            <w:tcMar/>
          </w:tcPr>
          <w:p w:rsidR="476D127A" w:rsidP="374D36CC" w:rsidRDefault="476D127A" w14:paraId="32528E9A" w14:textId="7D72F55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  <w:r w:rsidRPr="374D36CC" w:rsidR="15263A4F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A mechanism in DT is a series of moving parts that work together to perform a task. </w:t>
            </w:r>
          </w:p>
          <w:p w:rsidR="2538437F" w:rsidP="374D36CC" w:rsidRDefault="2538437F" w14:paraId="7BCE5D3D" w14:textId="7799FDF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</w:p>
          <w:p w:rsidR="476D127A" w:rsidP="374D36CC" w:rsidRDefault="476D127A" w14:paraId="337C8951" w14:textId="362CF13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  <w:r w:rsidRPr="374D36CC" w:rsidR="15263A4F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In KS1, children will learn about mechanisms by designing and making moving parts which use a slider, </w:t>
            </w:r>
            <w:r w:rsidRPr="374D36CC" w:rsidR="15263A4F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lever</w:t>
            </w:r>
            <w:r w:rsidRPr="374D36CC" w:rsidR="15263A4F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or pop up. They wil</w:t>
            </w:r>
            <w:r w:rsidRPr="374D36CC" w:rsidR="77AE846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l develop skills in drawing, </w:t>
            </w:r>
            <w:r w:rsidRPr="374D36CC" w:rsidR="77AE846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measuring</w:t>
            </w:r>
            <w:r w:rsidRPr="374D36CC" w:rsidR="77AE846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and cutting.</w:t>
            </w:r>
          </w:p>
        </w:tc>
        <w:tc>
          <w:tcPr>
            <w:tcW w:w="2631" w:type="dxa"/>
            <w:shd w:val="clear" w:color="auto" w:fill="D9D9D9" w:themeFill="background1" w:themeFillShade="D9"/>
            <w:tcMar/>
          </w:tcPr>
          <w:p w:rsidR="6F94F78E" w:rsidP="374D36CC" w:rsidRDefault="6F94F78E" w14:paraId="6605E720" w14:textId="72264714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  <w:r w:rsidRPr="374D36CC" w:rsidR="6F94F78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An electrical system in DT is a networ</w:t>
            </w:r>
            <w:r w:rsidRPr="374D36CC" w:rsidR="54CCD0BA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k of components which supply, </w:t>
            </w:r>
            <w:r w:rsidRPr="374D36CC" w:rsidR="54CCD0BA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transfer</w:t>
            </w:r>
            <w:r w:rsidRPr="374D36CC" w:rsidR="54CCD0BA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 xml:space="preserve"> or use electricity. They are used to power devices like lights and motors.</w:t>
            </w:r>
          </w:p>
          <w:p w:rsidR="374D36CC" w:rsidP="374D36CC" w:rsidRDefault="374D36CC" w14:paraId="4D9B162F" w14:textId="58003BF7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</w:p>
          <w:p w:rsidR="14845CDE" w:rsidP="374D36CC" w:rsidRDefault="14845CDE" w14:paraId="0BCF5041" w14:textId="31597713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US"/>
              </w:rPr>
            </w:pPr>
            <w:r w:rsidRPr="374D36CC" w:rsidR="14845CDE"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  <w:t>In KS1, electrical systems are not taught.</w:t>
            </w:r>
          </w:p>
        </w:tc>
      </w:tr>
    </w:tbl>
    <w:p w:rsidR="53A93E19" w:rsidP="53A93E19" w:rsidRDefault="53A93E19" w14:paraId="74A47288" w14:textId="2EEA6DFB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9ccf5e120ee24588"/>
      <w:footerReference w:type="default" r:id="R0cce28fc4de842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3A93E19" w14:paraId="4BD22CD1">
      <w:trPr>
        <w:trHeight w:val="300"/>
      </w:trPr>
      <w:tc>
        <w:tcPr>
          <w:tcW w:w="4800" w:type="dxa"/>
          <w:tcMar/>
        </w:tcPr>
        <w:p w:rsidR="5A35C224" w:rsidP="5A35C224" w:rsidRDefault="5A35C224" w14:paraId="7A0A5B70" w14:textId="4B3731F6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0BA519B1" w14:textId="13736B01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C0F3553" w14:textId="55B0710E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7144E415" w14:textId="2E7A2E1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A35C224" w14:paraId="0E10032F">
      <w:trPr>
        <w:trHeight w:val="300"/>
      </w:trPr>
      <w:tc>
        <w:tcPr>
          <w:tcW w:w="4800" w:type="dxa"/>
          <w:tcMar/>
        </w:tcPr>
        <w:p w:rsidR="5A35C224" w:rsidP="5A35C224" w:rsidRDefault="5A35C224" w14:paraId="7EDEC83F" w14:textId="46ADEB6D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4DCDFF24" w14:textId="71577F4C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3FC09F6" w14:textId="1B47E122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2C409C8B" w14:textId="2AFA4AE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7fce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827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b21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75928"/>
    <w:rsid w:val="0023440D"/>
    <w:rsid w:val="008385E6"/>
    <w:rsid w:val="00F510C0"/>
    <w:rsid w:val="00F510C0"/>
    <w:rsid w:val="00F60CD0"/>
    <w:rsid w:val="03900128"/>
    <w:rsid w:val="03F4031E"/>
    <w:rsid w:val="04884132"/>
    <w:rsid w:val="05340EFF"/>
    <w:rsid w:val="05340EFF"/>
    <w:rsid w:val="05665F73"/>
    <w:rsid w:val="05AA3BEF"/>
    <w:rsid w:val="05B29339"/>
    <w:rsid w:val="05D2FC83"/>
    <w:rsid w:val="05E31553"/>
    <w:rsid w:val="0692D7B8"/>
    <w:rsid w:val="06BF3643"/>
    <w:rsid w:val="070E807A"/>
    <w:rsid w:val="0775D13E"/>
    <w:rsid w:val="079370E7"/>
    <w:rsid w:val="08BFBB1A"/>
    <w:rsid w:val="0908DA4B"/>
    <w:rsid w:val="0939791D"/>
    <w:rsid w:val="0939791D"/>
    <w:rsid w:val="0976461C"/>
    <w:rsid w:val="0A01DF75"/>
    <w:rsid w:val="0AB80C39"/>
    <w:rsid w:val="0AC4BDA2"/>
    <w:rsid w:val="0AEB5EF7"/>
    <w:rsid w:val="0AF14E90"/>
    <w:rsid w:val="0B3B4E8F"/>
    <w:rsid w:val="0BE53FBD"/>
    <w:rsid w:val="0C0B0C98"/>
    <w:rsid w:val="0C0D5683"/>
    <w:rsid w:val="0C3A19B3"/>
    <w:rsid w:val="0C7B4D21"/>
    <w:rsid w:val="0C8985DA"/>
    <w:rsid w:val="0E61EA68"/>
    <w:rsid w:val="0E6733DC"/>
    <w:rsid w:val="0E8412A9"/>
    <w:rsid w:val="0EF3B217"/>
    <w:rsid w:val="0F0C369D"/>
    <w:rsid w:val="0FDBD754"/>
    <w:rsid w:val="0FEFD2CE"/>
    <w:rsid w:val="1003E1F3"/>
    <w:rsid w:val="103DCF22"/>
    <w:rsid w:val="109A9172"/>
    <w:rsid w:val="10A56B9F"/>
    <w:rsid w:val="110BE85E"/>
    <w:rsid w:val="1187C2EA"/>
    <w:rsid w:val="118D2402"/>
    <w:rsid w:val="126C05DD"/>
    <w:rsid w:val="131BA441"/>
    <w:rsid w:val="138A5044"/>
    <w:rsid w:val="142C8A49"/>
    <w:rsid w:val="146054CD"/>
    <w:rsid w:val="14845CDE"/>
    <w:rsid w:val="14AB28EA"/>
    <w:rsid w:val="15263A4F"/>
    <w:rsid w:val="15363AD6"/>
    <w:rsid w:val="1586A847"/>
    <w:rsid w:val="15A5A011"/>
    <w:rsid w:val="161CA93F"/>
    <w:rsid w:val="1699C211"/>
    <w:rsid w:val="16D00578"/>
    <w:rsid w:val="16E463F4"/>
    <w:rsid w:val="17273CF6"/>
    <w:rsid w:val="175CB906"/>
    <w:rsid w:val="180085B0"/>
    <w:rsid w:val="180085B0"/>
    <w:rsid w:val="1AAEA656"/>
    <w:rsid w:val="1ABA5153"/>
    <w:rsid w:val="1AD0B010"/>
    <w:rsid w:val="1AD0B010"/>
    <w:rsid w:val="1AD9AFE6"/>
    <w:rsid w:val="1ADC27EA"/>
    <w:rsid w:val="1AEE67F8"/>
    <w:rsid w:val="1B02A715"/>
    <w:rsid w:val="1B64BB46"/>
    <w:rsid w:val="1BBD7B22"/>
    <w:rsid w:val="1BD6FC53"/>
    <w:rsid w:val="1BE2119F"/>
    <w:rsid w:val="1C1BF3A2"/>
    <w:rsid w:val="1CAC1758"/>
    <w:rsid w:val="1CD208E2"/>
    <w:rsid w:val="1CF6C3DD"/>
    <w:rsid w:val="1CF6C3DD"/>
    <w:rsid w:val="1D53C402"/>
    <w:rsid w:val="1D59F564"/>
    <w:rsid w:val="1D864524"/>
    <w:rsid w:val="1DCBC900"/>
    <w:rsid w:val="1E2739FF"/>
    <w:rsid w:val="1EE1C243"/>
    <w:rsid w:val="1EF3EEF8"/>
    <w:rsid w:val="1F469F32"/>
    <w:rsid w:val="1F53EFCE"/>
    <w:rsid w:val="1FCA72B3"/>
    <w:rsid w:val="1FD93CA9"/>
    <w:rsid w:val="2086EABF"/>
    <w:rsid w:val="20CBF61B"/>
    <w:rsid w:val="215C6E51"/>
    <w:rsid w:val="21BC2265"/>
    <w:rsid w:val="21CD607F"/>
    <w:rsid w:val="221C1B73"/>
    <w:rsid w:val="22273C64"/>
    <w:rsid w:val="22E21EFC"/>
    <w:rsid w:val="238E1EDD"/>
    <w:rsid w:val="2403D240"/>
    <w:rsid w:val="243BCCD7"/>
    <w:rsid w:val="251FF88A"/>
    <w:rsid w:val="2538437F"/>
    <w:rsid w:val="26A806AE"/>
    <w:rsid w:val="2722BD3A"/>
    <w:rsid w:val="2722BD3A"/>
    <w:rsid w:val="273827E9"/>
    <w:rsid w:val="27985280"/>
    <w:rsid w:val="282C299F"/>
    <w:rsid w:val="282CD3F9"/>
    <w:rsid w:val="28304C98"/>
    <w:rsid w:val="283D018C"/>
    <w:rsid w:val="28C986DC"/>
    <w:rsid w:val="28D5666C"/>
    <w:rsid w:val="28F70FB5"/>
    <w:rsid w:val="298A485F"/>
    <w:rsid w:val="29C0C0FB"/>
    <w:rsid w:val="29C22675"/>
    <w:rsid w:val="2A1CCA8C"/>
    <w:rsid w:val="2A643716"/>
    <w:rsid w:val="2A965AF8"/>
    <w:rsid w:val="2AB30581"/>
    <w:rsid w:val="2AB7BA01"/>
    <w:rsid w:val="2BB8E83F"/>
    <w:rsid w:val="2C10A834"/>
    <w:rsid w:val="2CCF7748"/>
    <w:rsid w:val="2D1FED6D"/>
    <w:rsid w:val="2DE1EFC3"/>
    <w:rsid w:val="2E902604"/>
    <w:rsid w:val="2FA25B31"/>
    <w:rsid w:val="2FC9BA25"/>
    <w:rsid w:val="30F7A08A"/>
    <w:rsid w:val="3117B2E1"/>
    <w:rsid w:val="313D85C2"/>
    <w:rsid w:val="31BCEDD9"/>
    <w:rsid w:val="31EBE3A8"/>
    <w:rsid w:val="322D6BA9"/>
    <w:rsid w:val="329AE171"/>
    <w:rsid w:val="3388DC5F"/>
    <w:rsid w:val="33DC04E6"/>
    <w:rsid w:val="348CA598"/>
    <w:rsid w:val="3511FF6A"/>
    <w:rsid w:val="35459427"/>
    <w:rsid w:val="3577BE70"/>
    <w:rsid w:val="35B6527A"/>
    <w:rsid w:val="360505BA"/>
    <w:rsid w:val="360505BA"/>
    <w:rsid w:val="3618531F"/>
    <w:rsid w:val="36786F44"/>
    <w:rsid w:val="36834747"/>
    <w:rsid w:val="374D36CC"/>
    <w:rsid w:val="37B39B09"/>
    <w:rsid w:val="37F2C95D"/>
    <w:rsid w:val="384C5F5A"/>
    <w:rsid w:val="38B3CF09"/>
    <w:rsid w:val="38EA38D1"/>
    <w:rsid w:val="3954BDAF"/>
    <w:rsid w:val="39D61137"/>
    <w:rsid w:val="3A095DFD"/>
    <w:rsid w:val="3A29F388"/>
    <w:rsid w:val="3B505346"/>
    <w:rsid w:val="3B5ADFE2"/>
    <w:rsid w:val="3BE72F72"/>
    <w:rsid w:val="3BE72F72"/>
    <w:rsid w:val="3C731418"/>
    <w:rsid w:val="3C981FE0"/>
    <w:rsid w:val="3CE688BE"/>
    <w:rsid w:val="3CE688BE"/>
    <w:rsid w:val="3D0677F6"/>
    <w:rsid w:val="3D2F6A4C"/>
    <w:rsid w:val="3D6CEABD"/>
    <w:rsid w:val="3DAB66E5"/>
    <w:rsid w:val="3EF67447"/>
    <w:rsid w:val="3F693B7F"/>
    <w:rsid w:val="404A11C2"/>
    <w:rsid w:val="40CCEDA4"/>
    <w:rsid w:val="4137799D"/>
    <w:rsid w:val="414B01D8"/>
    <w:rsid w:val="41701256"/>
    <w:rsid w:val="4177E5BB"/>
    <w:rsid w:val="42145553"/>
    <w:rsid w:val="422A8C29"/>
    <w:rsid w:val="422A8C29"/>
    <w:rsid w:val="42742460"/>
    <w:rsid w:val="42E0A1A4"/>
    <w:rsid w:val="441A93A6"/>
    <w:rsid w:val="444EAE59"/>
    <w:rsid w:val="44543175"/>
    <w:rsid w:val="4467F321"/>
    <w:rsid w:val="4476B569"/>
    <w:rsid w:val="44EB3137"/>
    <w:rsid w:val="4536E5D4"/>
    <w:rsid w:val="45461234"/>
    <w:rsid w:val="462B0FCA"/>
    <w:rsid w:val="462B7C52"/>
    <w:rsid w:val="465A0505"/>
    <w:rsid w:val="476D127A"/>
    <w:rsid w:val="48416CE2"/>
    <w:rsid w:val="489C64FB"/>
    <w:rsid w:val="48B97F1C"/>
    <w:rsid w:val="48C30377"/>
    <w:rsid w:val="49B68C8D"/>
    <w:rsid w:val="49B75928"/>
    <w:rsid w:val="49EC866F"/>
    <w:rsid w:val="4A62C8A9"/>
    <w:rsid w:val="4AB84C01"/>
    <w:rsid w:val="4B2F4E23"/>
    <w:rsid w:val="4C4B1F4D"/>
    <w:rsid w:val="4CE707A8"/>
    <w:rsid w:val="4D19734D"/>
    <w:rsid w:val="4D367334"/>
    <w:rsid w:val="4D92D4C0"/>
    <w:rsid w:val="4DCCF43C"/>
    <w:rsid w:val="4EE28F2A"/>
    <w:rsid w:val="4F23AFF9"/>
    <w:rsid w:val="4FD40577"/>
    <w:rsid w:val="5000F2E0"/>
    <w:rsid w:val="509200F6"/>
    <w:rsid w:val="509200F6"/>
    <w:rsid w:val="5093495E"/>
    <w:rsid w:val="50AD1ACC"/>
    <w:rsid w:val="51501863"/>
    <w:rsid w:val="51A3B232"/>
    <w:rsid w:val="535A84DC"/>
    <w:rsid w:val="53A93E19"/>
    <w:rsid w:val="53BEFD6B"/>
    <w:rsid w:val="53D8E191"/>
    <w:rsid w:val="54400424"/>
    <w:rsid w:val="54453D1A"/>
    <w:rsid w:val="548DBA77"/>
    <w:rsid w:val="54CCD0BA"/>
    <w:rsid w:val="54D1A1B9"/>
    <w:rsid w:val="54D2F978"/>
    <w:rsid w:val="54DF0FB5"/>
    <w:rsid w:val="55291BFD"/>
    <w:rsid w:val="552B28B1"/>
    <w:rsid w:val="552B28B1"/>
    <w:rsid w:val="566F77D7"/>
    <w:rsid w:val="56CB8D91"/>
    <w:rsid w:val="5745ADA3"/>
    <w:rsid w:val="57931400"/>
    <w:rsid w:val="58A4F8CF"/>
    <w:rsid w:val="5945918E"/>
    <w:rsid w:val="594DF5BC"/>
    <w:rsid w:val="595951F8"/>
    <w:rsid w:val="5A02D5AE"/>
    <w:rsid w:val="5A35C224"/>
    <w:rsid w:val="5A622A40"/>
    <w:rsid w:val="5A6595A1"/>
    <w:rsid w:val="5A6595A1"/>
    <w:rsid w:val="5AA0FD24"/>
    <w:rsid w:val="5B128359"/>
    <w:rsid w:val="5B2A5FB2"/>
    <w:rsid w:val="5C48AE50"/>
    <w:rsid w:val="5CAAE3AF"/>
    <w:rsid w:val="5D75DEE6"/>
    <w:rsid w:val="5DD33FFD"/>
    <w:rsid w:val="5DE914EE"/>
    <w:rsid w:val="5DE914EE"/>
    <w:rsid w:val="5E74D534"/>
    <w:rsid w:val="5F5A8929"/>
    <w:rsid w:val="5F5A8929"/>
    <w:rsid w:val="5F8C0B06"/>
    <w:rsid w:val="5FD48C6F"/>
    <w:rsid w:val="5FF212A3"/>
    <w:rsid w:val="6014FB34"/>
    <w:rsid w:val="604F6535"/>
    <w:rsid w:val="6057E15E"/>
    <w:rsid w:val="60BECD21"/>
    <w:rsid w:val="60E901C3"/>
    <w:rsid w:val="60E901C3"/>
    <w:rsid w:val="60FF5DD7"/>
    <w:rsid w:val="612755F3"/>
    <w:rsid w:val="620A4FB6"/>
    <w:rsid w:val="62332E8C"/>
    <w:rsid w:val="6236A2A0"/>
    <w:rsid w:val="635D773E"/>
    <w:rsid w:val="63610301"/>
    <w:rsid w:val="6394CBA8"/>
    <w:rsid w:val="64319B15"/>
    <w:rsid w:val="647C1F74"/>
    <w:rsid w:val="64953259"/>
    <w:rsid w:val="64CA18B2"/>
    <w:rsid w:val="64E8B5F7"/>
    <w:rsid w:val="654905AE"/>
    <w:rsid w:val="658D327C"/>
    <w:rsid w:val="65A0DE5D"/>
    <w:rsid w:val="662F4D9E"/>
    <w:rsid w:val="6657676A"/>
    <w:rsid w:val="6657676A"/>
    <w:rsid w:val="6659F698"/>
    <w:rsid w:val="666174E4"/>
    <w:rsid w:val="67145CCE"/>
    <w:rsid w:val="67B02FE5"/>
    <w:rsid w:val="67D80291"/>
    <w:rsid w:val="68127D8D"/>
    <w:rsid w:val="6884CBF3"/>
    <w:rsid w:val="690012EB"/>
    <w:rsid w:val="698B33EC"/>
    <w:rsid w:val="69AD6106"/>
    <w:rsid w:val="69B87493"/>
    <w:rsid w:val="69FE043C"/>
    <w:rsid w:val="6A7F6B48"/>
    <w:rsid w:val="6AADD882"/>
    <w:rsid w:val="6AAE4F81"/>
    <w:rsid w:val="6B05362E"/>
    <w:rsid w:val="6B0C6A1B"/>
    <w:rsid w:val="6B1E26EC"/>
    <w:rsid w:val="6B5832A1"/>
    <w:rsid w:val="6C9D2D74"/>
    <w:rsid w:val="6CEFBE07"/>
    <w:rsid w:val="6D1D1BAF"/>
    <w:rsid w:val="6DAEEF18"/>
    <w:rsid w:val="6E7B6E8D"/>
    <w:rsid w:val="6E94975B"/>
    <w:rsid w:val="6EB7FC98"/>
    <w:rsid w:val="6F26DF4A"/>
    <w:rsid w:val="6F60736C"/>
    <w:rsid w:val="6F94F78E"/>
    <w:rsid w:val="6FA58E49"/>
    <w:rsid w:val="701EB230"/>
    <w:rsid w:val="70E88FC5"/>
    <w:rsid w:val="7104C52E"/>
    <w:rsid w:val="7294E47C"/>
    <w:rsid w:val="741444E1"/>
    <w:rsid w:val="7494D910"/>
    <w:rsid w:val="74AACE23"/>
    <w:rsid w:val="74ACEE0B"/>
    <w:rsid w:val="7504285B"/>
    <w:rsid w:val="7599385A"/>
    <w:rsid w:val="75D13D55"/>
    <w:rsid w:val="76433224"/>
    <w:rsid w:val="76B8B6FF"/>
    <w:rsid w:val="7774D49D"/>
    <w:rsid w:val="77AE846E"/>
    <w:rsid w:val="78BE13F0"/>
    <w:rsid w:val="79069067"/>
    <w:rsid w:val="79124D58"/>
    <w:rsid w:val="793963CA"/>
    <w:rsid w:val="79C21B26"/>
    <w:rsid w:val="7A096C50"/>
    <w:rsid w:val="7A2B443B"/>
    <w:rsid w:val="7A46E25F"/>
    <w:rsid w:val="7A746454"/>
    <w:rsid w:val="7AA29B50"/>
    <w:rsid w:val="7AAA3D57"/>
    <w:rsid w:val="7B296521"/>
    <w:rsid w:val="7B4071C6"/>
    <w:rsid w:val="7BB64075"/>
    <w:rsid w:val="7C2B5BE0"/>
    <w:rsid w:val="7C34FFB7"/>
    <w:rsid w:val="7C5BC0DC"/>
    <w:rsid w:val="7C96D0AD"/>
    <w:rsid w:val="7CCECD7B"/>
    <w:rsid w:val="7D03DB81"/>
    <w:rsid w:val="7D0BF5CE"/>
    <w:rsid w:val="7D57B3A4"/>
    <w:rsid w:val="7D941863"/>
    <w:rsid w:val="7D9D7372"/>
    <w:rsid w:val="7E0F402F"/>
    <w:rsid w:val="7E9B5350"/>
    <w:rsid w:val="7EC590ED"/>
    <w:rsid w:val="7EC590ED"/>
    <w:rsid w:val="7F01AAE8"/>
    <w:rsid w:val="7F4541C5"/>
    <w:rsid w:val="7F4541C5"/>
    <w:rsid w:val="7FE0B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928"/>
  <w15:chartTrackingRefBased/>
  <w15:docId w15:val="{DA32C357-F304-4A36-AD4C-1FFC1E415D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374D36C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6c77b33332c247f6" /><Relationship Type="http://schemas.openxmlformats.org/officeDocument/2006/relationships/header" Target="header.xml" Id="R9ccf5e120ee24588" /><Relationship Type="http://schemas.openxmlformats.org/officeDocument/2006/relationships/footer" Target="footer.xml" Id="R0cce28fc4de842bf" /><Relationship Type="http://schemas.openxmlformats.org/officeDocument/2006/relationships/numbering" Target="numbering.xml" Id="R3f042311e1574e57" /><Relationship Type="http://schemas.openxmlformats.org/officeDocument/2006/relationships/image" Target="/media/image8.png" Id="Rec36be5730344cde" /><Relationship Type="http://schemas.openxmlformats.org/officeDocument/2006/relationships/image" Target="/media/image9.png" Id="R02e10abec30841b7" /><Relationship Type="http://schemas.openxmlformats.org/officeDocument/2006/relationships/image" Target="/media/imagea.png" Id="R9cdc068cf6ff41dd" /><Relationship Type="http://schemas.openxmlformats.org/officeDocument/2006/relationships/image" Target="/media/imageb.png" Id="R31a909a7115645b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2024-11-11T10:14:17.5930138Z</dcterms:created>
  <dcterms:modified xsi:type="dcterms:W3CDTF">2025-09-01T13:41:03.5548612Z</dcterms:modified>
  <dc:creator>Kimberley Lloyd</dc:creator>
  <lastModifiedBy>Kimberley Lloyd</lastModifiedBy>
</coreProperties>
</file>